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Look w:val="04A0" w:firstRow="1" w:lastRow="0" w:firstColumn="1" w:lastColumn="0" w:noHBand="0" w:noVBand="1"/>
      </w:tblPr>
      <w:tblGrid>
        <w:gridCol w:w="3020"/>
        <w:gridCol w:w="1511"/>
        <w:gridCol w:w="2265"/>
        <w:gridCol w:w="2266"/>
      </w:tblGrid>
      <w:tr w:rsidR="003C6BA4" w:rsidTr="000E7E7C">
        <w:tc>
          <w:tcPr>
            <w:tcW w:w="3020" w:type="dxa"/>
          </w:tcPr>
          <w:p w:rsidR="003C6BA4" w:rsidRDefault="003C6BA4" w:rsidP="003C6BA4">
            <w:r>
              <w:rPr>
                <w:noProof/>
                <w:lang w:val="fr-FR" w:eastAsia="fr-FR"/>
              </w:rPr>
              <w:drawing>
                <wp:inline distT="0" distB="0" distL="0" distR="0" wp14:anchorId="4E5CEAF2" wp14:editId="5DAE2106">
                  <wp:extent cx="1422400" cy="583102"/>
                  <wp:effectExtent l="0" t="0" r="6350" b="762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RA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2221" cy="591227"/>
                          </a:xfrm>
                          <a:prstGeom prst="rect">
                            <a:avLst/>
                          </a:prstGeom>
                        </pic:spPr>
                      </pic:pic>
                    </a:graphicData>
                  </a:graphic>
                </wp:inline>
              </w:drawing>
            </w:r>
          </w:p>
        </w:tc>
        <w:tc>
          <w:tcPr>
            <w:tcW w:w="1511" w:type="dxa"/>
          </w:tcPr>
          <w:p w:rsidR="003C6BA4" w:rsidRDefault="003C6BA4" w:rsidP="003C6BA4">
            <w:r>
              <w:rPr>
                <w:noProof/>
                <w:lang w:val="fr-FR" w:eastAsia="fr-FR"/>
              </w:rPr>
              <w:drawing>
                <wp:inline distT="0" distB="0" distL="0" distR="0" wp14:anchorId="7C35DE95" wp14:editId="39A9008D">
                  <wp:extent cx="726521" cy="65405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AGAP-F.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0522" cy="657652"/>
                          </a:xfrm>
                          <a:prstGeom prst="rect">
                            <a:avLst/>
                          </a:prstGeom>
                        </pic:spPr>
                      </pic:pic>
                    </a:graphicData>
                  </a:graphic>
                </wp:inline>
              </w:drawing>
            </w:r>
          </w:p>
        </w:tc>
        <w:tc>
          <w:tcPr>
            <w:tcW w:w="2265" w:type="dxa"/>
          </w:tcPr>
          <w:p w:rsidR="003C6BA4" w:rsidRDefault="003C6BA4" w:rsidP="003C6BA4">
            <w:r>
              <w:rPr>
                <w:rFonts w:ascii="Source Sans Pro" w:hAnsi="Source Sans Pro"/>
                <w:noProof/>
                <w:lang w:val="fr-FR" w:eastAsia="fr-FR"/>
              </w:rPr>
              <w:drawing>
                <wp:anchor distT="0" distB="0" distL="114935" distR="114935" simplePos="0" relativeHeight="251659264" behindDoc="1" locked="0" layoutInCell="1" allowOverlap="1" wp14:anchorId="0084D479" wp14:editId="02D7E281">
                  <wp:simplePos x="0" y="0"/>
                  <wp:positionH relativeFrom="column">
                    <wp:posOffset>-634</wp:posOffset>
                  </wp:positionH>
                  <wp:positionV relativeFrom="paragraph">
                    <wp:posOffset>1906</wp:posOffset>
                  </wp:positionV>
                  <wp:extent cx="1339850" cy="586164"/>
                  <wp:effectExtent l="0" t="0" r="0" b="4445"/>
                  <wp:wrapNone/>
                  <wp:docPr id="4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l="-24" t="-55" r="-24" b="-55"/>
                          <a:stretch>
                            <a:fillRect/>
                          </a:stretch>
                        </pic:blipFill>
                        <pic:spPr bwMode="auto">
                          <a:xfrm>
                            <a:off x="0" y="0"/>
                            <a:ext cx="1398240" cy="611709"/>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2266" w:type="dxa"/>
          </w:tcPr>
          <w:p w:rsidR="003C6BA4" w:rsidRDefault="003C6BA4" w:rsidP="003C6BA4">
            <w:r>
              <w:rPr>
                <w:rFonts w:ascii="Source Sans Pro" w:hAnsi="Source Sans Pro"/>
                <w:noProof/>
                <w:lang w:val="fr-FR" w:eastAsia="fr-FR"/>
              </w:rPr>
              <w:drawing>
                <wp:anchor distT="0" distB="0" distL="114935" distR="114935" simplePos="0" relativeHeight="251661312" behindDoc="1" locked="0" layoutInCell="1" allowOverlap="1" wp14:anchorId="17D181AC" wp14:editId="5B685D2E">
                  <wp:simplePos x="0" y="0"/>
                  <wp:positionH relativeFrom="column">
                    <wp:posOffset>-3809</wp:posOffset>
                  </wp:positionH>
                  <wp:positionV relativeFrom="paragraph">
                    <wp:posOffset>1906</wp:posOffset>
                  </wp:positionV>
                  <wp:extent cx="812800" cy="628052"/>
                  <wp:effectExtent l="0" t="0" r="6350" b="635"/>
                  <wp:wrapNone/>
                  <wp:docPr id="4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l="-56" t="-73" r="-56" b="-73"/>
                          <a:stretch>
                            <a:fillRect/>
                          </a:stretch>
                        </pic:blipFill>
                        <pic:spPr bwMode="auto">
                          <a:xfrm>
                            <a:off x="0" y="0"/>
                            <a:ext cx="824556" cy="637136"/>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bl>
    <w:p w:rsidR="003C3F6F" w:rsidRDefault="00F55A38" w:rsidP="003C6BA4"/>
    <w:p w:rsidR="003C6BA4" w:rsidRDefault="003C6BA4" w:rsidP="003C6BA4">
      <w:pPr>
        <w:pStyle w:val="Default"/>
      </w:pPr>
    </w:p>
    <w:p w:rsidR="003C6BA4" w:rsidRDefault="003C6BA4" w:rsidP="003C6BA4">
      <w:pPr>
        <w:pStyle w:val="Default"/>
        <w:jc w:val="center"/>
        <w:rPr>
          <w:b/>
          <w:bCs/>
          <w:sz w:val="32"/>
          <w:szCs w:val="32"/>
        </w:rPr>
      </w:pPr>
      <w:r>
        <w:rPr>
          <w:b/>
          <w:bCs/>
          <w:sz w:val="32"/>
          <w:szCs w:val="32"/>
        </w:rPr>
        <w:t xml:space="preserve">Appel d’offre : production de documents sur la prise en compte de la diversité des échelles d’action et sur la cohérence territoriale à destination des acteurs de </w:t>
      </w:r>
      <w:r w:rsidRPr="003C6BA4">
        <w:rPr>
          <w:b/>
          <w:bCs/>
          <w:sz w:val="32"/>
          <w:szCs w:val="32"/>
        </w:rPr>
        <w:t>la trame verte et bleue</w:t>
      </w:r>
    </w:p>
    <w:p w:rsidR="003C6BA4" w:rsidRDefault="003C6BA4" w:rsidP="003C6BA4">
      <w:pPr>
        <w:pStyle w:val="Default"/>
        <w:rPr>
          <w:b/>
          <w:bCs/>
          <w:sz w:val="32"/>
          <w:szCs w:val="32"/>
        </w:rPr>
      </w:pPr>
    </w:p>
    <w:p w:rsidR="003C6BA4" w:rsidRDefault="003C6BA4" w:rsidP="003C6BA4">
      <w:pPr>
        <w:pStyle w:val="Default"/>
        <w:rPr>
          <w:b/>
          <w:bCs/>
          <w:sz w:val="32"/>
          <w:szCs w:val="32"/>
        </w:rPr>
      </w:pPr>
    </w:p>
    <w:p w:rsidR="008476D1" w:rsidRPr="008476D1" w:rsidRDefault="008476D1" w:rsidP="008476D1">
      <w:pPr>
        <w:autoSpaceDE w:val="0"/>
        <w:autoSpaceDN w:val="0"/>
        <w:adjustRightInd w:val="0"/>
        <w:spacing w:after="0" w:line="240" w:lineRule="auto"/>
        <w:rPr>
          <w:rFonts w:ascii="Source Sans Pro" w:hAnsi="Source Sans Pro" w:cs="Source Sans Pro"/>
          <w:color w:val="000000"/>
          <w:sz w:val="24"/>
          <w:szCs w:val="24"/>
          <w:lang w:val="fr-FR"/>
        </w:rPr>
      </w:pPr>
    </w:p>
    <w:p w:rsidR="003C6BA4" w:rsidRDefault="008476D1" w:rsidP="008476D1">
      <w:pPr>
        <w:pStyle w:val="Default"/>
        <w:rPr>
          <w:rFonts w:ascii="Source Sans Pro" w:hAnsi="Source Sans Pro" w:cs="Source Sans Pro"/>
          <w:sz w:val="22"/>
          <w:szCs w:val="22"/>
        </w:rPr>
      </w:pPr>
      <w:r>
        <w:rPr>
          <w:rFonts w:ascii="Source Sans Pro" w:hAnsi="Source Sans Pro" w:cs="Source Sans Pro"/>
          <w:sz w:val="22"/>
          <w:szCs w:val="22"/>
        </w:rPr>
        <w:t>L</w:t>
      </w:r>
      <w:r w:rsidRPr="008476D1">
        <w:rPr>
          <w:rFonts w:ascii="Source Sans Pro" w:hAnsi="Source Sans Pro" w:cs="Source Sans Pro"/>
          <w:sz w:val="22"/>
          <w:szCs w:val="22"/>
        </w:rPr>
        <w:t xml:space="preserve">’INRA (Institut de Recherche </w:t>
      </w:r>
      <w:r w:rsidR="00B6230D" w:rsidRPr="008476D1">
        <w:rPr>
          <w:rFonts w:ascii="Source Sans Pro" w:hAnsi="Source Sans Pro" w:cs="Source Sans Pro"/>
          <w:sz w:val="22"/>
          <w:szCs w:val="22"/>
        </w:rPr>
        <w:t xml:space="preserve">Agronomique) </w:t>
      </w:r>
      <w:r w:rsidR="00B6230D" w:rsidRPr="008476D1">
        <w:rPr>
          <w:rFonts w:ascii="Source Sans Pro" w:hAnsi="Source Sans Pro" w:cs="Source Sans Pro"/>
        </w:rPr>
        <w:t>appuie</w:t>
      </w:r>
      <w:r>
        <w:rPr>
          <w:rFonts w:ascii="Source Sans Pro" w:hAnsi="Source Sans Pro" w:cs="Source Sans Pro"/>
          <w:sz w:val="22"/>
          <w:szCs w:val="22"/>
        </w:rPr>
        <w:t xml:space="preserve"> l’</w:t>
      </w:r>
      <w:r w:rsidRPr="008476D1">
        <w:rPr>
          <w:rFonts w:ascii="Source Sans Pro" w:hAnsi="Source Sans Pro" w:cs="Source Sans Pro"/>
          <w:sz w:val="22"/>
          <w:szCs w:val="22"/>
        </w:rPr>
        <w:t xml:space="preserve">Union Régionale des </w:t>
      </w:r>
      <w:proofErr w:type="spellStart"/>
      <w:r w:rsidRPr="008476D1">
        <w:rPr>
          <w:rFonts w:ascii="Source Sans Pro" w:hAnsi="Source Sans Pro" w:cs="Source Sans Pro"/>
          <w:sz w:val="22"/>
          <w:szCs w:val="22"/>
        </w:rPr>
        <w:t>CPIEs</w:t>
      </w:r>
      <w:proofErr w:type="spellEnd"/>
      <w:r w:rsidRPr="008476D1">
        <w:rPr>
          <w:rFonts w:ascii="Source Sans Pro" w:hAnsi="Source Sans Pro" w:cs="Source Sans Pro"/>
          <w:sz w:val="22"/>
          <w:szCs w:val="22"/>
        </w:rPr>
        <w:t xml:space="preserve"> (Centres Permanents d’Initiatives pour l’Environnement) </w:t>
      </w:r>
      <w:r>
        <w:rPr>
          <w:rFonts w:ascii="Source Sans Pro" w:hAnsi="Source Sans Pro" w:cs="Source Sans Pro"/>
          <w:sz w:val="22"/>
          <w:szCs w:val="22"/>
        </w:rPr>
        <w:t>de Bretagne sur</w:t>
      </w:r>
      <w:r w:rsidRPr="008476D1">
        <w:rPr>
          <w:rFonts w:ascii="Source Sans Pro" w:hAnsi="Source Sans Pro" w:cs="Source Sans Pro"/>
          <w:sz w:val="22"/>
          <w:szCs w:val="22"/>
        </w:rPr>
        <w:t xml:space="preserve"> un projet de recherche-action sur la mise en place des trames vertes et bleues à l’échelle </w:t>
      </w:r>
      <w:proofErr w:type="spellStart"/>
      <w:r w:rsidRPr="008476D1">
        <w:rPr>
          <w:rFonts w:ascii="Source Sans Pro" w:hAnsi="Source Sans Pro" w:cs="Source Sans Pro"/>
          <w:sz w:val="22"/>
          <w:szCs w:val="22"/>
        </w:rPr>
        <w:t>infra-régionale</w:t>
      </w:r>
      <w:proofErr w:type="spellEnd"/>
      <w:r w:rsidRPr="008476D1">
        <w:rPr>
          <w:rFonts w:ascii="Source Sans Pro" w:hAnsi="Source Sans Pro" w:cs="Source Sans Pro"/>
          <w:sz w:val="22"/>
          <w:szCs w:val="22"/>
        </w:rPr>
        <w:t xml:space="preserve">. Ce projet, intitulé CHEMINS (Continuités Ecologiques </w:t>
      </w:r>
      <w:proofErr w:type="spellStart"/>
      <w:r w:rsidRPr="008476D1">
        <w:rPr>
          <w:rFonts w:ascii="Source Sans Pro" w:hAnsi="Source Sans Pro" w:cs="Source Sans Pro"/>
          <w:sz w:val="22"/>
          <w:szCs w:val="22"/>
        </w:rPr>
        <w:t>Infra-régionales</w:t>
      </w:r>
      <w:proofErr w:type="spellEnd"/>
      <w:r w:rsidRPr="008476D1">
        <w:rPr>
          <w:rFonts w:ascii="Source Sans Pro" w:hAnsi="Source Sans Pro" w:cs="Source Sans Pro"/>
          <w:sz w:val="22"/>
          <w:szCs w:val="22"/>
        </w:rPr>
        <w:t>) consiste à développer des outils d’accompagnement des acteurs locaux pour mettre en place le SRCE Bretagne.</w:t>
      </w:r>
    </w:p>
    <w:p w:rsidR="00B6230D" w:rsidRDefault="00B6230D" w:rsidP="008476D1">
      <w:pPr>
        <w:pStyle w:val="Default"/>
        <w:rPr>
          <w:rFonts w:ascii="Source Sans Pro" w:hAnsi="Source Sans Pro" w:cs="Source Sans Pro"/>
          <w:sz w:val="22"/>
          <w:szCs w:val="22"/>
        </w:rPr>
      </w:pPr>
    </w:p>
    <w:p w:rsidR="00B6230D" w:rsidRPr="00B6230D" w:rsidRDefault="00B6230D" w:rsidP="00B6230D">
      <w:pPr>
        <w:autoSpaceDE w:val="0"/>
        <w:autoSpaceDN w:val="0"/>
        <w:adjustRightInd w:val="0"/>
        <w:spacing w:after="0" w:line="240" w:lineRule="auto"/>
        <w:rPr>
          <w:rFonts w:ascii="Source Sans Pro" w:hAnsi="Source Sans Pro" w:cs="Source Sans Pro"/>
          <w:color w:val="000000"/>
          <w:sz w:val="24"/>
          <w:szCs w:val="24"/>
          <w:lang w:val="fr-FR"/>
        </w:rPr>
      </w:pPr>
    </w:p>
    <w:p w:rsidR="00B6230D" w:rsidRPr="00B6230D" w:rsidRDefault="00B6230D" w:rsidP="00B6230D">
      <w:pPr>
        <w:autoSpaceDE w:val="0"/>
        <w:autoSpaceDN w:val="0"/>
        <w:adjustRightInd w:val="0"/>
        <w:spacing w:after="0" w:line="240" w:lineRule="auto"/>
        <w:rPr>
          <w:rFonts w:ascii="Source Sans Pro" w:hAnsi="Source Sans Pro" w:cs="Source Sans Pro"/>
          <w:color w:val="000000"/>
          <w:sz w:val="23"/>
          <w:szCs w:val="23"/>
          <w:lang w:val="fr-FR"/>
        </w:rPr>
      </w:pPr>
      <w:r w:rsidRPr="00B6230D">
        <w:rPr>
          <w:rFonts w:ascii="Source Sans Pro" w:hAnsi="Source Sans Pro" w:cs="Source Sans Pro"/>
          <w:b/>
          <w:bCs/>
          <w:color w:val="000000"/>
          <w:sz w:val="23"/>
          <w:szCs w:val="23"/>
          <w:lang w:val="fr-FR"/>
        </w:rPr>
        <w:t xml:space="preserve">I. Présentation du projet CHEMINS </w:t>
      </w:r>
    </w:p>
    <w:p w:rsidR="00B6230D" w:rsidRDefault="00B6230D" w:rsidP="008476D1">
      <w:pPr>
        <w:pStyle w:val="Default"/>
        <w:rPr>
          <w:rFonts w:ascii="Source Sans Pro" w:hAnsi="Source Sans Pro" w:cs="Source Sans Pro"/>
          <w:sz w:val="22"/>
          <w:szCs w:val="22"/>
        </w:rPr>
      </w:pPr>
    </w:p>
    <w:p w:rsidR="00B6230D" w:rsidRPr="00B6230D" w:rsidRDefault="00B6230D" w:rsidP="00B6230D">
      <w:pPr>
        <w:autoSpaceDE w:val="0"/>
        <w:autoSpaceDN w:val="0"/>
        <w:adjustRightInd w:val="0"/>
        <w:spacing w:after="0" w:line="240" w:lineRule="auto"/>
        <w:rPr>
          <w:rFonts w:ascii="Source Sans Pro" w:hAnsi="Source Sans Pro" w:cs="Source Sans Pro"/>
          <w:color w:val="000000"/>
          <w:sz w:val="24"/>
          <w:szCs w:val="24"/>
          <w:lang w:val="fr-FR"/>
        </w:rPr>
      </w:pPr>
    </w:p>
    <w:p w:rsidR="00B6230D" w:rsidRPr="00B6230D" w:rsidRDefault="00B6230D" w:rsidP="00B6230D">
      <w:pPr>
        <w:autoSpaceDE w:val="0"/>
        <w:autoSpaceDN w:val="0"/>
        <w:adjustRightInd w:val="0"/>
        <w:spacing w:after="0" w:line="240" w:lineRule="auto"/>
        <w:rPr>
          <w:rFonts w:ascii="Source Sans Pro" w:hAnsi="Source Sans Pro" w:cs="Source Sans Pro"/>
          <w:color w:val="000000"/>
          <w:lang w:val="fr-FR"/>
        </w:rPr>
      </w:pPr>
      <w:r w:rsidRPr="00B6230D">
        <w:rPr>
          <w:rFonts w:ascii="Source Sans Pro" w:hAnsi="Source Sans Pro" w:cs="Source Sans Pro"/>
          <w:color w:val="000000"/>
          <w:sz w:val="24"/>
          <w:szCs w:val="24"/>
          <w:lang w:val="fr-FR"/>
        </w:rPr>
        <w:t xml:space="preserve"> </w:t>
      </w:r>
      <w:r w:rsidRPr="00B6230D">
        <w:rPr>
          <w:rFonts w:ascii="Source Sans Pro" w:hAnsi="Source Sans Pro" w:cs="Source Sans Pro"/>
          <w:color w:val="000000"/>
          <w:lang w:val="fr-FR"/>
        </w:rPr>
        <w:t xml:space="preserve">Le projet CHEMINS (Continuités Ecologiques Infra Régionales), d’une durée de 4 ans (2016 – 2020) est </w:t>
      </w:r>
      <w:proofErr w:type="gramStart"/>
      <w:r w:rsidRPr="00B6230D">
        <w:rPr>
          <w:rFonts w:ascii="Source Sans Pro" w:hAnsi="Source Sans Pro" w:cs="Source Sans Pro"/>
          <w:color w:val="000000"/>
          <w:lang w:val="fr-FR"/>
        </w:rPr>
        <w:t>issu</w:t>
      </w:r>
      <w:proofErr w:type="gramEnd"/>
      <w:r w:rsidRPr="00B6230D">
        <w:rPr>
          <w:rFonts w:ascii="Source Sans Pro" w:hAnsi="Source Sans Pro" w:cs="Source Sans Pro"/>
          <w:color w:val="000000"/>
          <w:lang w:val="fr-FR"/>
        </w:rPr>
        <w:t xml:space="preserve"> d’un partenariat entre l’Union Régionale des Centres Permanents d’Initiatives pour </w:t>
      </w:r>
      <w:r>
        <w:rPr>
          <w:rFonts w:ascii="Source Sans Pro" w:hAnsi="Source Sans Pro" w:cs="Source Sans Pro"/>
          <w:color w:val="000000"/>
          <w:lang w:val="fr-FR"/>
        </w:rPr>
        <w:t>l</w:t>
      </w:r>
      <w:r w:rsidRPr="00B6230D">
        <w:rPr>
          <w:rFonts w:ascii="Source Sans Pro" w:hAnsi="Source Sans Pro" w:cs="Source Sans Pro"/>
          <w:color w:val="000000"/>
          <w:lang w:val="fr-FR"/>
        </w:rPr>
        <w:t xml:space="preserve">’Environnement (URCPIE) de Bretagne et l’INRA (Institut National de la Recherche Agronomique) représenté par l’UMR BAGAP. </w:t>
      </w:r>
    </w:p>
    <w:p w:rsidR="00B6230D" w:rsidRPr="00B6230D" w:rsidRDefault="00B6230D" w:rsidP="00B6230D">
      <w:pPr>
        <w:autoSpaceDE w:val="0"/>
        <w:autoSpaceDN w:val="0"/>
        <w:adjustRightInd w:val="0"/>
        <w:spacing w:after="0" w:line="240" w:lineRule="auto"/>
        <w:rPr>
          <w:rFonts w:ascii="Source Sans Pro" w:hAnsi="Source Sans Pro" w:cs="Source Sans Pro"/>
          <w:color w:val="000000"/>
          <w:lang w:val="fr-FR"/>
        </w:rPr>
      </w:pPr>
      <w:r w:rsidRPr="00B6230D">
        <w:rPr>
          <w:rFonts w:ascii="Source Sans Pro" w:hAnsi="Source Sans Pro" w:cs="Source Sans Pro"/>
          <w:color w:val="000000"/>
          <w:lang w:val="fr-FR"/>
        </w:rPr>
        <w:t>Ce projet</w:t>
      </w:r>
      <w:r w:rsidR="00696BD4">
        <w:rPr>
          <w:rFonts w:ascii="Source Sans Pro" w:hAnsi="Source Sans Pro" w:cs="Source Sans Pro"/>
          <w:color w:val="000000"/>
          <w:lang w:val="fr-FR"/>
        </w:rPr>
        <w:t>, financé par des fonds FEDER et régionaux,</w:t>
      </w:r>
      <w:r w:rsidRPr="00B6230D">
        <w:rPr>
          <w:rFonts w:ascii="Source Sans Pro" w:hAnsi="Source Sans Pro" w:cs="Source Sans Pro"/>
          <w:color w:val="000000"/>
          <w:lang w:val="fr-FR"/>
        </w:rPr>
        <w:t xml:space="preserve"> vise à expérimenter la mise en œuvre du Schéma Régional de Cohérence Ecologique de la région Bretagne (SRCE Bretagne), adopté le 2 novembre 2015 aux échelles infrarégionales en s’appuyant sur le Plan d’Actions Stratégiques (PAS). </w:t>
      </w:r>
    </w:p>
    <w:p w:rsidR="00B6230D" w:rsidRPr="00B6230D" w:rsidRDefault="00B6230D" w:rsidP="00B6230D">
      <w:pPr>
        <w:autoSpaceDE w:val="0"/>
        <w:autoSpaceDN w:val="0"/>
        <w:adjustRightInd w:val="0"/>
        <w:spacing w:after="0" w:line="240" w:lineRule="auto"/>
        <w:rPr>
          <w:rFonts w:ascii="Source Sans Pro" w:hAnsi="Source Sans Pro" w:cs="Source Sans Pro"/>
          <w:color w:val="000000"/>
          <w:lang w:val="fr-FR"/>
        </w:rPr>
      </w:pPr>
      <w:r w:rsidRPr="00B6230D">
        <w:rPr>
          <w:rFonts w:ascii="Source Sans Pro" w:hAnsi="Source Sans Pro" w:cs="Source Sans Pro"/>
          <w:color w:val="000000"/>
          <w:lang w:val="fr-FR"/>
        </w:rPr>
        <w:t xml:space="preserve">L’objet des actions envisagées est la </w:t>
      </w:r>
      <w:proofErr w:type="spellStart"/>
      <w:r w:rsidRPr="00B6230D">
        <w:rPr>
          <w:rFonts w:ascii="Source Sans Pro" w:hAnsi="Source Sans Pro" w:cs="Source Sans Pro"/>
          <w:color w:val="000000"/>
          <w:lang w:val="fr-FR"/>
        </w:rPr>
        <w:t>co</w:t>
      </w:r>
      <w:proofErr w:type="spellEnd"/>
      <w:r w:rsidRPr="00B6230D">
        <w:rPr>
          <w:rFonts w:ascii="Source Sans Pro" w:hAnsi="Source Sans Pro" w:cs="Source Sans Pro"/>
          <w:color w:val="000000"/>
          <w:lang w:val="fr-FR"/>
        </w:rPr>
        <w:t xml:space="preserve">-construction de méthodes et le test de leur opérationnalité autour des continuités écologiques et de la Trame Verte et Bleue (TVB) ainsi que l’identification des freins et des leviers de leur mise en place. </w:t>
      </w:r>
    </w:p>
    <w:p w:rsidR="00B6230D" w:rsidRDefault="00B6230D" w:rsidP="00B6230D">
      <w:pPr>
        <w:pStyle w:val="Default"/>
        <w:rPr>
          <w:rFonts w:ascii="Source Sans Pro" w:hAnsi="Source Sans Pro" w:cs="Source Sans Pro"/>
          <w:sz w:val="22"/>
          <w:szCs w:val="22"/>
        </w:rPr>
      </w:pPr>
      <w:r w:rsidRPr="00B6230D">
        <w:rPr>
          <w:rFonts w:ascii="Source Sans Pro" w:hAnsi="Source Sans Pro" w:cs="Source Sans Pro"/>
          <w:sz w:val="22"/>
          <w:szCs w:val="22"/>
        </w:rPr>
        <w:t>Il est issu de la convention cadre nationale entre l’Union Nationale des CPIE (UNCPIE) et l’INRA (2012).</w:t>
      </w:r>
    </w:p>
    <w:p w:rsidR="00B6230D" w:rsidRDefault="00B6230D" w:rsidP="00B6230D">
      <w:pPr>
        <w:pStyle w:val="Default"/>
        <w:rPr>
          <w:rFonts w:ascii="Source Sans Pro" w:hAnsi="Source Sans Pro" w:cs="Source Sans Pro"/>
          <w:sz w:val="22"/>
          <w:szCs w:val="22"/>
        </w:rPr>
      </w:pPr>
    </w:p>
    <w:p w:rsidR="0078211C" w:rsidRDefault="00221C31" w:rsidP="00B6230D">
      <w:pPr>
        <w:pStyle w:val="Default"/>
        <w:rPr>
          <w:rFonts w:ascii="Source Sans Pro" w:hAnsi="Source Sans Pro" w:cs="Source Sans Pro"/>
          <w:sz w:val="22"/>
          <w:szCs w:val="22"/>
        </w:rPr>
      </w:pPr>
      <w:r>
        <w:rPr>
          <w:rFonts w:ascii="Source Sans Pro" w:hAnsi="Source Sans Pro" w:cs="Source Sans Pro"/>
          <w:sz w:val="22"/>
          <w:szCs w:val="22"/>
        </w:rPr>
        <w:t>L</w:t>
      </w:r>
      <w:r w:rsidR="00B6230D">
        <w:rPr>
          <w:rFonts w:ascii="Source Sans Pro" w:hAnsi="Source Sans Pro" w:cs="Source Sans Pro"/>
          <w:sz w:val="22"/>
          <w:szCs w:val="22"/>
        </w:rPr>
        <w:t>es productions propres au projet CHEMINS (TVBchemins.com</w:t>
      </w:r>
      <w:r>
        <w:rPr>
          <w:rFonts w:ascii="Source Sans Pro" w:hAnsi="Source Sans Pro" w:cs="Source Sans Pro"/>
          <w:sz w:val="22"/>
          <w:szCs w:val="22"/>
        </w:rPr>
        <w:t>) proviennent de synthèses de résultats de recherche et de test de méthodes d’appropriation du sujet sur des sites test. N</w:t>
      </w:r>
      <w:r w:rsidR="00B6230D">
        <w:rPr>
          <w:rFonts w:ascii="Source Sans Pro" w:hAnsi="Source Sans Pro" w:cs="Source Sans Pro"/>
          <w:sz w:val="22"/>
          <w:szCs w:val="22"/>
        </w:rPr>
        <w:t xml:space="preserve">ous </w:t>
      </w:r>
      <w:r>
        <w:rPr>
          <w:rFonts w:ascii="Source Sans Pro" w:hAnsi="Source Sans Pro" w:cs="Source Sans Pro"/>
          <w:sz w:val="22"/>
          <w:szCs w:val="22"/>
        </w:rPr>
        <w:t xml:space="preserve">aussi </w:t>
      </w:r>
      <w:r w:rsidR="00B6230D">
        <w:rPr>
          <w:rFonts w:ascii="Source Sans Pro" w:hAnsi="Source Sans Pro" w:cs="Source Sans Pro"/>
          <w:sz w:val="22"/>
          <w:szCs w:val="22"/>
        </w:rPr>
        <w:t xml:space="preserve">souhaitons fournir aux gestionnaires des </w:t>
      </w:r>
      <w:r>
        <w:rPr>
          <w:rFonts w:ascii="Source Sans Pro" w:hAnsi="Source Sans Pro" w:cs="Source Sans Pro"/>
          <w:sz w:val="22"/>
          <w:szCs w:val="22"/>
        </w:rPr>
        <w:t>retours d’expérience de mise en place des trames vertes et bleues dans les documents d’urbanismes dans des situations variées.</w:t>
      </w:r>
    </w:p>
    <w:p w:rsidR="0078211C" w:rsidRDefault="0078211C">
      <w:pPr>
        <w:rPr>
          <w:rFonts w:ascii="Source Sans Pro" w:hAnsi="Source Sans Pro" w:cs="Source Sans Pro"/>
          <w:color w:val="000000"/>
          <w:lang w:val="fr-FR"/>
        </w:rPr>
      </w:pPr>
      <w:r w:rsidRPr="007E030D">
        <w:rPr>
          <w:rFonts w:ascii="Source Sans Pro" w:hAnsi="Source Sans Pro" w:cs="Source Sans Pro"/>
          <w:lang w:val="fr-FR"/>
        </w:rPr>
        <w:br w:type="page"/>
      </w:r>
    </w:p>
    <w:p w:rsidR="00774144" w:rsidRPr="00B6230D" w:rsidRDefault="00774144" w:rsidP="00774144">
      <w:pPr>
        <w:autoSpaceDE w:val="0"/>
        <w:autoSpaceDN w:val="0"/>
        <w:adjustRightInd w:val="0"/>
        <w:spacing w:after="0" w:line="240" w:lineRule="auto"/>
        <w:rPr>
          <w:rFonts w:ascii="Source Sans Pro" w:hAnsi="Source Sans Pro" w:cs="Source Sans Pro"/>
          <w:color w:val="000000"/>
          <w:sz w:val="23"/>
          <w:szCs w:val="23"/>
          <w:lang w:val="fr-FR"/>
        </w:rPr>
      </w:pPr>
      <w:r w:rsidRPr="00B6230D">
        <w:rPr>
          <w:rFonts w:ascii="Source Sans Pro" w:hAnsi="Source Sans Pro" w:cs="Source Sans Pro"/>
          <w:b/>
          <w:bCs/>
          <w:color w:val="000000"/>
          <w:sz w:val="23"/>
          <w:szCs w:val="23"/>
          <w:lang w:val="fr-FR"/>
        </w:rPr>
        <w:lastRenderedPageBreak/>
        <w:t>I</w:t>
      </w:r>
      <w:r>
        <w:rPr>
          <w:rFonts w:ascii="Source Sans Pro" w:hAnsi="Source Sans Pro" w:cs="Source Sans Pro"/>
          <w:b/>
          <w:bCs/>
          <w:color w:val="000000"/>
          <w:sz w:val="23"/>
          <w:szCs w:val="23"/>
          <w:lang w:val="fr-FR"/>
        </w:rPr>
        <w:t>I</w:t>
      </w:r>
      <w:r w:rsidRPr="00B6230D">
        <w:rPr>
          <w:rFonts w:ascii="Source Sans Pro" w:hAnsi="Source Sans Pro" w:cs="Source Sans Pro"/>
          <w:b/>
          <w:bCs/>
          <w:color w:val="000000"/>
          <w:sz w:val="23"/>
          <w:szCs w:val="23"/>
          <w:lang w:val="fr-FR"/>
        </w:rPr>
        <w:t xml:space="preserve">. </w:t>
      </w:r>
      <w:r>
        <w:rPr>
          <w:rFonts w:ascii="Source Sans Pro" w:hAnsi="Source Sans Pro" w:cs="Source Sans Pro"/>
          <w:b/>
          <w:bCs/>
          <w:color w:val="000000"/>
          <w:sz w:val="23"/>
          <w:szCs w:val="23"/>
          <w:lang w:val="fr-FR"/>
        </w:rPr>
        <w:t>documents attendus</w:t>
      </w:r>
      <w:r w:rsidRPr="00B6230D">
        <w:rPr>
          <w:rFonts w:ascii="Source Sans Pro" w:hAnsi="Source Sans Pro" w:cs="Source Sans Pro"/>
          <w:b/>
          <w:bCs/>
          <w:color w:val="000000"/>
          <w:sz w:val="23"/>
          <w:szCs w:val="23"/>
          <w:lang w:val="fr-FR"/>
        </w:rPr>
        <w:t xml:space="preserve"> </w:t>
      </w:r>
    </w:p>
    <w:p w:rsidR="00B6230D" w:rsidRDefault="00B6230D" w:rsidP="00B6230D">
      <w:pPr>
        <w:pStyle w:val="Default"/>
        <w:rPr>
          <w:rFonts w:ascii="Source Sans Pro" w:hAnsi="Source Sans Pro" w:cs="Source Sans Pro"/>
          <w:sz w:val="22"/>
          <w:szCs w:val="22"/>
        </w:rPr>
      </w:pPr>
    </w:p>
    <w:p w:rsidR="00B6230D" w:rsidRDefault="00774144" w:rsidP="008476D1">
      <w:pPr>
        <w:pStyle w:val="Default"/>
        <w:rPr>
          <w:rFonts w:ascii="Source Sans Pro" w:hAnsi="Source Sans Pro" w:cs="Source Sans Pro"/>
          <w:sz w:val="22"/>
          <w:szCs w:val="22"/>
        </w:rPr>
      </w:pPr>
      <w:r>
        <w:rPr>
          <w:rFonts w:ascii="Source Sans Pro" w:hAnsi="Source Sans Pro" w:cs="Source Sans Pro"/>
          <w:sz w:val="22"/>
          <w:szCs w:val="22"/>
        </w:rPr>
        <w:t>Il ne s’agit pas d’entreprendre de nouvelles études ou de nouvelles recherches, mais de produire des documents à partir de travaux déjà réalisés.</w:t>
      </w:r>
      <w:r w:rsidR="00696BD4">
        <w:rPr>
          <w:rFonts w:ascii="Source Sans Pro" w:hAnsi="Source Sans Pro" w:cs="Source Sans Pro"/>
          <w:sz w:val="22"/>
          <w:szCs w:val="22"/>
        </w:rPr>
        <w:t xml:space="preserve"> Les exemples devront, préférentiellement, concerner la Bretagne, même si des exemples d’autres régions peuvent venir en complément.</w:t>
      </w:r>
    </w:p>
    <w:p w:rsidR="00774144" w:rsidRDefault="00774144" w:rsidP="008476D1">
      <w:pPr>
        <w:pStyle w:val="Default"/>
        <w:rPr>
          <w:rFonts w:ascii="Source Sans Pro" w:hAnsi="Source Sans Pro" w:cs="Source Sans Pro"/>
          <w:sz w:val="22"/>
          <w:szCs w:val="22"/>
        </w:rPr>
      </w:pPr>
    </w:p>
    <w:p w:rsidR="00774144" w:rsidRPr="00774144" w:rsidRDefault="00774144" w:rsidP="00774144">
      <w:pPr>
        <w:pStyle w:val="Default"/>
        <w:numPr>
          <w:ilvl w:val="0"/>
          <w:numId w:val="1"/>
        </w:numPr>
        <w:rPr>
          <w:rFonts w:ascii="Source Sans Pro" w:hAnsi="Source Sans Pro" w:cs="Source Sans Pro"/>
          <w:b/>
          <w:i/>
          <w:sz w:val="22"/>
          <w:szCs w:val="22"/>
        </w:rPr>
      </w:pPr>
      <w:r w:rsidRPr="00774144">
        <w:rPr>
          <w:rFonts w:ascii="Source Sans Pro" w:hAnsi="Source Sans Pro" w:cs="Source Sans Pro"/>
          <w:b/>
          <w:i/>
          <w:sz w:val="22"/>
          <w:szCs w:val="22"/>
        </w:rPr>
        <w:t>D</w:t>
      </w:r>
      <w:r>
        <w:rPr>
          <w:rFonts w:ascii="Source Sans Pro" w:hAnsi="Source Sans Pro" w:cs="Source Sans Pro"/>
          <w:b/>
          <w:i/>
          <w:sz w:val="22"/>
          <w:szCs w:val="22"/>
        </w:rPr>
        <w:t>ocument</w:t>
      </w:r>
      <w:r w:rsidRPr="00774144">
        <w:rPr>
          <w:rFonts w:ascii="Source Sans Pro" w:hAnsi="Source Sans Pro" w:cs="Source Sans Pro"/>
          <w:b/>
          <w:i/>
          <w:sz w:val="22"/>
          <w:szCs w:val="22"/>
        </w:rPr>
        <w:t xml:space="preserve"> 1 : comment les collectivités organisent la prise en compte des diverses échelles </w:t>
      </w:r>
      <w:proofErr w:type="spellStart"/>
      <w:r w:rsidRPr="00774144">
        <w:rPr>
          <w:rFonts w:ascii="Source Sans Pro" w:hAnsi="Source Sans Pro" w:cs="Source Sans Pro"/>
          <w:b/>
          <w:i/>
          <w:sz w:val="22"/>
          <w:szCs w:val="22"/>
        </w:rPr>
        <w:t>infra-régionales</w:t>
      </w:r>
      <w:proofErr w:type="spellEnd"/>
      <w:r w:rsidRPr="00774144">
        <w:rPr>
          <w:rFonts w:ascii="Source Sans Pro" w:hAnsi="Source Sans Pro" w:cs="Source Sans Pro"/>
          <w:b/>
          <w:i/>
          <w:sz w:val="22"/>
          <w:szCs w:val="22"/>
        </w:rPr>
        <w:t xml:space="preserve"> dans la définition de leur TVB ?</w:t>
      </w:r>
    </w:p>
    <w:p w:rsidR="00774144" w:rsidRDefault="00774144" w:rsidP="00774144">
      <w:pPr>
        <w:pStyle w:val="Default"/>
        <w:rPr>
          <w:rFonts w:ascii="Source Sans Pro" w:hAnsi="Source Sans Pro" w:cs="Source Sans Pro"/>
          <w:sz w:val="22"/>
          <w:szCs w:val="22"/>
        </w:rPr>
      </w:pPr>
    </w:p>
    <w:p w:rsidR="00774144" w:rsidRDefault="00696BD4" w:rsidP="00774144">
      <w:pPr>
        <w:pStyle w:val="Default"/>
        <w:rPr>
          <w:rFonts w:ascii="Source Sans Pro" w:hAnsi="Source Sans Pro" w:cs="Source Sans Pro"/>
          <w:sz w:val="22"/>
          <w:szCs w:val="22"/>
        </w:rPr>
      </w:pPr>
      <w:r>
        <w:rPr>
          <w:rFonts w:ascii="Source Sans Pro" w:hAnsi="Source Sans Pro" w:cs="Source Sans Pro"/>
          <w:sz w:val="22"/>
          <w:szCs w:val="22"/>
        </w:rPr>
        <w:t xml:space="preserve">Au niveau du </w:t>
      </w:r>
      <w:proofErr w:type="spellStart"/>
      <w:r>
        <w:rPr>
          <w:rFonts w:ascii="Source Sans Pro" w:hAnsi="Source Sans Pro" w:cs="Source Sans Pro"/>
          <w:sz w:val="22"/>
          <w:szCs w:val="22"/>
        </w:rPr>
        <w:t>SCoT</w:t>
      </w:r>
      <w:proofErr w:type="spellEnd"/>
      <w:r>
        <w:rPr>
          <w:rFonts w:ascii="Source Sans Pro" w:hAnsi="Source Sans Pro" w:cs="Source Sans Pro"/>
          <w:sz w:val="22"/>
          <w:szCs w:val="22"/>
        </w:rPr>
        <w:t xml:space="preserve"> (Schéma de Cohérence Territoriale) la TVB doit prendre en compte les préconisations du SRCE (Schéma Régional de Cohérence Ecologique)</w:t>
      </w:r>
      <w:r w:rsidR="00D02CEE" w:rsidRPr="000A065A">
        <w:rPr>
          <w:rFonts w:ascii="Source Sans Pro" w:hAnsi="Source Sans Pro" w:cs="Source Sans Pro"/>
          <w:sz w:val="22"/>
          <w:szCs w:val="22"/>
        </w:rPr>
        <w:t xml:space="preserve"> qui sera prochainement intégré au SRADDET, en cours de </w:t>
      </w:r>
      <w:r w:rsidR="000A065A" w:rsidRPr="000A065A">
        <w:rPr>
          <w:rFonts w:ascii="Source Sans Pro" w:hAnsi="Source Sans Pro" w:cs="Source Sans Pro"/>
          <w:sz w:val="22"/>
          <w:szCs w:val="22"/>
        </w:rPr>
        <w:t>réflexion</w:t>
      </w:r>
      <w:r w:rsidR="00D02CEE" w:rsidRPr="000A065A">
        <w:rPr>
          <w:rFonts w:ascii="Source Sans Pro" w:hAnsi="Source Sans Pro" w:cs="Source Sans Pro"/>
          <w:sz w:val="22"/>
          <w:szCs w:val="22"/>
        </w:rPr>
        <w:t xml:space="preserve"> par la </w:t>
      </w:r>
      <w:r w:rsidR="000A065A" w:rsidRPr="000A065A">
        <w:rPr>
          <w:rFonts w:ascii="Source Sans Pro" w:hAnsi="Source Sans Pro" w:cs="Source Sans Pro"/>
          <w:sz w:val="22"/>
          <w:szCs w:val="22"/>
        </w:rPr>
        <w:t>région</w:t>
      </w:r>
      <w:r w:rsidR="00D02CEE" w:rsidRPr="000A065A">
        <w:rPr>
          <w:rFonts w:ascii="Source Sans Pro" w:hAnsi="Source Sans Pro" w:cs="Source Sans Pro"/>
          <w:sz w:val="22"/>
          <w:szCs w:val="22"/>
        </w:rPr>
        <w:t xml:space="preserve"> Bretagne</w:t>
      </w:r>
      <w:r>
        <w:rPr>
          <w:rFonts w:ascii="Source Sans Pro" w:hAnsi="Source Sans Pro" w:cs="Source Sans Pro"/>
          <w:sz w:val="22"/>
          <w:szCs w:val="22"/>
        </w:rPr>
        <w:t>. Au nive</w:t>
      </w:r>
      <w:r w:rsidR="00006E70">
        <w:rPr>
          <w:rFonts w:ascii="Source Sans Pro" w:hAnsi="Source Sans Pro" w:cs="Source Sans Pro"/>
          <w:sz w:val="22"/>
          <w:szCs w:val="22"/>
        </w:rPr>
        <w:t>a</w:t>
      </w:r>
      <w:r>
        <w:rPr>
          <w:rFonts w:ascii="Source Sans Pro" w:hAnsi="Source Sans Pro" w:cs="Source Sans Pro"/>
          <w:sz w:val="22"/>
          <w:szCs w:val="22"/>
        </w:rPr>
        <w:t xml:space="preserve">u du PLU ou </w:t>
      </w:r>
      <w:proofErr w:type="spellStart"/>
      <w:r>
        <w:rPr>
          <w:rFonts w:ascii="Source Sans Pro" w:hAnsi="Source Sans Pro" w:cs="Source Sans Pro"/>
          <w:sz w:val="22"/>
          <w:szCs w:val="22"/>
        </w:rPr>
        <w:t>PLUi</w:t>
      </w:r>
      <w:proofErr w:type="spellEnd"/>
      <w:r>
        <w:rPr>
          <w:rFonts w:ascii="Source Sans Pro" w:hAnsi="Source Sans Pro" w:cs="Source Sans Pro"/>
          <w:sz w:val="22"/>
          <w:szCs w:val="22"/>
        </w:rPr>
        <w:t xml:space="preserve"> (Plan Local d’Urbanisme (intercommunal), c’est la TVB du </w:t>
      </w:r>
      <w:proofErr w:type="spellStart"/>
      <w:r>
        <w:rPr>
          <w:rFonts w:ascii="Source Sans Pro" w:hAnsi="Source Sans Pro" w:cs="Source Sans Pro"/>
          <w:sz w:val="22"/>
          <w:szCs w:val="22"/>
        </w:rPr>
        <w:t>SCoT</w:t>
      </w:r>
      <w:proofErr w:type="spellEnd"/>
      <w:r>
        <w:rPr>
          <w:rFonts w:ascii="Source Sans Pro" w:hAnsi="Source Sans Pro" w:cs="Source Sans Pro"/>
          <w:sz w:val="22"/>
          <w:szCs w:val="22"/>
        </w:rPr>
        <w:t xml:space="preserve"> qui doit être prise en compte. La loi laissant une grande liberté méthodologique aux acteurs, les collectivités ont adopté des stratégies différentes. On attend des exemples de cette diversité. Le document doit avoir un point de vue critique pour permettre aux acteurs de faire leurs choix, ou de tenter des démarches innovantes.</w:t>
      </w:r>
      <w:r w:rsidR="00483814">
        <w:rPr>
          <w:rFonts w:ascii="Source Sans Pro" w:hAnsi="Source Sans Pro" w:cs="Source Sans Pro"/>
          <w:sz w:val="22"/>
          <w:szCs w:val="22"/>
        </w:rPr>
        <w:t xml:space="preserve"> Le document présentera des cas de coopération inter-échelle</w:t>
      </w:r>
      <w:r w:rsidR="00006E70">
        <w:rPr>
          <w:rFonts w:ascii="Source Sans Pro" w:hAnsi="Source Sans Pro" w:cs="Source Sans Pro"/>
          <w:sz w:val="22"/>
          <w:szCs w:val="22"/>
        </w:rPr>
        <w:t>s</w:t>
      </w:r>
      <w:r w:rsidR="00483814">
        <w:rPr>
          <w:rFonts w:ascii="Source Sans Pro" w:hAnsi="Source Sans Pro" w:cs="Source Sans Pro"/>
          <w:sz w:val="22"/>
          <w:szCs w:val="22"/>
        </w:rPr>
        <w:t>.</w:t>
      </w:r>
    </w:p>
    <w:p w:rsidR="00774144" w:rsidRDefault="00774144" w:rsidP="00774144">
      <w:pPr>
        <w:pStyle w:val="Default"/>
        <w:rPr>
          <w:rFonts w:ascii="Source Sans Pro" w:hAnsi="Source Sans Pro" w:cs="Source Sans Pro"/>
          <w:sz w:val="22"/>
          <w:szCs w:val="22"/>
        </w:rPr>
      </w:pPr>
    </w:p>
    <w:p w:rsidR="00774144" w:rsidRDefault="00774144" w:rsidP="00774144">
      <w:pPr>
        <w:pStyle w:val="Default"/>
        <w:numPr>
          <w:ilvl w:val="0"/>
          <w:numId w:val="1"/>
        </w:numPr>
        <w:rPr>
          <w:rFonts w:ascii="Source Sans Pro" w:hAnsi="Source Sans Pro" w:cs="Source Sans Pro"/>
          <w:sz w:val="22"/>
          <w:szCs w:val="22"/>
        </w:rPr>
      </w:pPr>
      <w:r w:rsidRPr="00774144">
        <w:rPr>
          <w:rFonts w:ascii="Source Sans Pro" w:hAnsi="Source Sans Pro" w:cs="Source Sans Pro"/>
          <w:b/>
          <w:i/>
          <w:sz w:val="22"/>
          <w:szCs w:val="22"/>
        </w:rPr>
        <w:t>D</w:t>
      </w:r>
      <w:r>
        <w:rPr>
          <w:rFonts w:ascii="Source Sans Pro" w:hAnsi="Source Sans Pro" w:cs="Source Sans Pro"/>
          <w:b/>
          <w:i/>
          <w:sz w:val="22"/>
          <w:szCs w:val="22"/>
        </w:rPr>
        <w:t>ocument</w:t>
      </w:r>
      <w:r w:rsidRPr="00774144">
        <w:rPr>
          <w:rFonts w:ascii="Source Sans Pro" w:hAnsi="Source Sans Pro" w:cs="Source Sans Pro"/>
          <w:b/>
          <w:i/>
          <w:sz w:val="22"/>
          <w:szCs w:val="22"/>
        </w:rPr>
        <w:t xml:space="preserve"> </w:t>
      </w:r>
      <w:r>
        <w:rPr>
          <w:rFonts w:ascii="Source Sans Pro" w:hAnsi="Source Sans Pro" w:cs="Source Sans Pro"/>
          <w:b/>
          <w:i/>
          <w:sz w:val="22"/>
          <w:szCs w:val="22"/>
        </w:rPr>
        <w:t>2</w:t>
      </w:r>
      <w:r w:rsidRPr="00774144">
        <w:rPr>
          <w:rFonts w:ascii="Source Sans Pro" w:hAnsi="Source Sans Pro" w:cs="Source Sans Pro"/>
          <w:b/>
          <w:i/>
          <w:sz w:val="22"/>
          <w:szCs w:val="22"/>
        </w:rPr>
        <w:t> :</w:t>
      </w:r>
      <w:r>
        <w:rPr>
          <w:rFonts w:ascii="Source Sans Pro" w:hAnsi="Source Sans Pro" w:cs="Source Sans Pro"/>
          <w:b/>
          <w:i/>
          <w:sz w:val="22"/>
          <w:szCs w:val="22"/>
        </w:rPr>
        <w:t xml:space="preserve"> comment </w:t>
      </w:r>
      <w:r w:rsidR="00FC7ABD">
        <w:rPr>
          <w:rFonts w:ascii="Source Sans Pro" w:hAnsi="Source Sans Pro" w:cs="Source Sans Pro"/>
          <w:b/>
          <w:i/>
          <w:sz w:val="22"/>
          <w:szCs w:val="22"/>
        </w:rPr>
        <w:t>intégrer</w:t>
      </w:r>
      <w:r>
        <w:rPr>
          <w:rFonts w:ascii="Source Sans Pro" w:hAnsi="Source Sans Pro" w:cs="Source Sans Pro"/>
          <w:b/>
          <w:i/>
          <w:sz w:val="22"/>
          <w:szCs w:val="22"/>
        </w:rPr>
        <w:t xml:space="preserve"> la définition de la TVB</w:t>
      </w:r>
      <w:r w:rsidR="00FC7ABD">
        <w:rPr>
          <w:rFonts w:ascii="Source Sans Pro" w:hAnsi="Source Sans Pro" w:cs="Source Sans Pro"/>
          <w:b/>
          <w:i/>
          <w:sz w:val="22"/>
          <w:szCs w:val="22"/>
        </w:rPr>
        <w:t xml:space="preserve"> dans la multiplicité des fonctions des territoires</w:t>
      </w:r>
      <w:r>
        <w:rPr>
          <w:rFonts w:ascii="Source Sans Pro" w:hAnsi="Source Sans Pro" w:cs="Source Sans Pro"/>
          <w:b/>
          <w:i/>
          <w:sz w:val="22"/>
          <w:szCs w:val="22"/>
        </w:rPr>
        <w:t> ?</w:t>
      </w:r>
    </w:p>
    <w:p w:rsidR="00B6230D" w:rsidRDefault="00B6230D" w:rsidP="008476D1">
      <w:pPr>
        <w:pStyle w:val="Default"/>
        <w:rPr>
          <w:rFonts w:ascii="Arial" w:hAnsi="Arial" w:cs="Arial"/>
        </w:rPr>
      </w:pPr>
    </w:p>
    <w:p w:rsidR="00774144" w:rsidRDefault="00483814" w:rsidP="008476D1">
      <w:pPr>
        <w:pStyle w:val="Default"/>
        <w:rPr>
          <w:rFonts w:ascii="Arial" w:hAnsi="Arial" w:cs="Arial"/>
        </w:rPr>
      </w:pPr>
      <w:r>
        <w:rPr>
          <w:rFonts w:ascii="Arial" w:hAnsi="Arial" w:cs="Arial"/>
        </w:rPr>
        <w:t>Intégrée dans le PLU</w:t>
      </w:r>
      <w:r w:rsidR="00006E70">
        <w:rPr>
          <w:rFonts w:ascii="Arial" w:hAnsi="Arial" w:cs="Arial"/>
        </w:rPr>
        <w:t>(i)</w:t>
      </w:r>
      <w:r>
        <w:rPr>
          <w:rFonts w:ascii="Arial" w:hAnsi="Arial" w:cs="Arial"/>
        </w:rPr>
        <w:t>, la TVB doit s’articuler avec l’ensemble des préconisations de planification. La planification des autres usages doit être cohérente avec la TVB. Ceci pose de multiples problèmes d’antagonisme ou de synergie</w:t>
      </w:r>
      <w:r w:rsidR="00FC7ABD">
        <w:rPr>
          <w:rFonts w:ascii="Arial" w:hAnsi="Arial" w:cs="Arial"/>
        </w:rPr>
        <w:t xml:space="preserve"> entre usages</w:t>
      </w:r>
      <w:r>
        <w:rPr>
          <w:rFonts w:ascii="Arial" w:hAnsi="Arial" w:cs="Arial"/>
        </w:rPr>
        <w:t>.</w:t>
      </w:r>
      <w:r w:rsidR="00FC7ABD">
        <w:rPr>
          <w:rFonts w:ascii="Arial" w:hAnsi="Arial" w:cs="Arial"/>
        </w:rPr>
        <w:t xml:space="preserve"> Les enjeux écologiques et les enjeux sociaux sont alors en interaction forte. </w:t>
      </w:r>
      <w:r w:rsidR="00EF4A36">
        <w:rPr>
          <w:rFonts w:ascii="Arial" w:hAnsi="Arial" w:cs="Arial"/>
        </w:rPr>
        <w:t xml:space="preserve">Le document présentera des exemples de la prise en compte croisée de ces enjeux par </w:t>
      </w:r>
      <w:proofErr w:type="gramStart"/>
      <w:r w:rsidR="00EF4A36">
        <w:rPr>
          <w:rFonts w:ascii="Arial" w:hAnsi="Arial" w:cs="Arial"/>
        </w:rPr>
        <w:t xml:space="preserve">les </w:t>
      </w:r>
      <w:r w:rsidR="00FC7ABD">
        <w:rPr>
          <w:rFonts w:ascii="Arial" w:hAnsi="Arial" w:cs="Arial"/>
        </w:rPr>
        <w:t xml:space="preserve"> différentes</w:t>
      </w:r>
      <w:proofErr w:type="gramEnd"/>
      <w:r w:rsidR="00FC7ABD">
        <w:rPr>
          <w:rFonts w:ascii="Arial" w:hAnsi="Arial" w:cs="Arial"/>
        </w:rPr>
        <w:t xml:space="preserve"> collectivités</w:t>
      </w:r>
      <w:r w:rsidR="00EF4A36">
        <w:rPr>
          <w:rFonts w:ascii="Arial" w:hAnsi="Arial" w:cs="Arial"/>
        </w:rPr>
        <w:t xml:space="preserve">. </w:t>
      </w:r>
      <w:r w:rsidR="00EF4A36">
        <w:rPr>
          <w:rFonts w:ascii="Source Sans Pro" w:hAnsi="Source Sans Pro" w:cs="Source Sans Pro"/>
          <w:sz w:val="22"/>
          <w:szCs w:val="22"/>
        </w:rPr>
        <w:t>Le document doit avoir un point de vue critique pour permettre aux acteurs de faire leurs choix, ou de tenter des démarches innovantes.</w:t>
      </w:r>
    </w:p>
    <w:p w:rsidR="00FC7ABD" w:rsidRDefault="00FC7ABD" w:rsidP="008476D1">
      <w:pPr>
        <w:pStyle w:val="Default"/>
        <w:rPr>
          <w:rFonts w:ascii="Arial" w:hAnsi="Arial" w:cs="Arial"/>
        </w:rPr>
      </w:pPr>
    </w:p>
    <w:p w:rsidR="00FC7ABD" w:rsidRPr="00B6230D" w:rsidRDefault="00FC7ABD" w:rsidP="00FC7ABD">
      <w:pPr>
        <w:autoSpaceDE w:val="0"/>
        <w:autoSpaceDN w:val="0"/>
        <w:adjustRightInd w:val="0"/>
        <w:spacing w:after="0" w:line="240" w:lineRule="auto"/>
        <w:rPr>
          <w:rFonts w:ascii="Source Sans Pro" w:hAnsi="Source Sans Pro" w:cs="Source Sans Pro"/>
          <w:color w:val="000000"/>
          <w:sz w:val="23"/>
          <w:szCs w:val="23"/>
          <w:lang w:val="fr-FR"/>
        </w:rPr>
      </w:pPr>
      <w:r w:rsidRPr="00B6230D">
        <w:rPr>
          <w:rFonts w:ascii="Source Sans Pro" w:hAnsi="Source Sans Pro" w:cs="Source Sans Pro"/>
          <w:b/>
          <w:bCs/>
          <w:color w:val="000000"/>
          <w:sz w:val="23"/>
          <w:szCs w:val="23"/>
          <w:lang w:val="fr-FR"/>
        </w:rPr>
        <w:t>I</w:t>
      </w:r>
      <w:r>
        <w:rPr>
          <w:rFonts w:ascii="Source Sans Pro" w:hAnsi="Source Sans Pro" w:cs="Source Sans Pro"/>
          <w:b/>
          <w:bCs/>
          <w:color w:val="000000"/>
          <w:sz w:val="23"/>
          <w:szCs w:val="23"/>
          <w:lang w:val="fr-FR"/>
        </w:rPr>
        <w:t>II</w:t>
      </w:r>
      <w:r w:rsidRPr="00B6230D">
        <w:rPr>
          <w:rFonts w:ascii="Source Sans Pro" w:hAnsi="Source Sans Pro" w:cs="Source Sans Pro"/>
          <w:b/>
          <w:bCs/>
          <w:color w:val="000000"/>
          <w:sz w:val="23"/>
          <w:szCs w:val="23"/>
          <w:lang w:val="fr-FR"/>
        </w:rPr>
        <w:t xml:space="preserve">. </w:t>
      </w:r>
      <w:r>
        <w:rPr>
          <w:rFonts w:ascii="Source Sans Pro" w:hAnsi="Source Sans Pro" w:cs="Source Sans Pro"/>
          <w:b/>
          <w:bCs/>
          <w:color w:val="000000"/>
          <w:sz w:val="23"/>
          <w:szCs w:val="23"/>
          <w:lang w:val="fr-FR"/>
        </w:rPr>
        <w:t>critères de sélection</w:t>
      </w:r>
      <w:r w:rsidRPr="00B6230D">
        <w:rPr>
          <w:rFonts w:ascii="Source Sans Pro" w:hAnsi="Source Sans Pro" w:cs="Source Sans Pro"/>
          <w:b/>
          <w:bCs/>
          <w:color w:val="000000"/>
          <w:sz w:val="23"/>
          <w:szCs w:val="23"/>
          <w:lang w:val="fr-FR"/>
        </w:rPr>
        <w:t xml:space="preserve"> </w:t>
      </w:r>
    </w:p>
    <w:p w:rsidR="00FC7ABD" w:rsidRDefault="00FC7ABD" w:rsidP="008476D1">
      <w:pPr>
        <w:pStyle w:val="Default"/>
        <w:rPr>
          <w:rFonts w:ascii="Arial" w:hAnsi="Arial" w:cs="Arial"/>
        </w:rPr>
      </w:pPr>
    </w:p>
    <w:p w:rsidR="00FC7ABD" w:rsidRDefault="00FC7ABD" w:rsidP="008476D1">
      <w:pPr>
        <w:pStyle w:val="Default"/>
        <w:rPr>
          <w:sz w:val="22"/>
          <w:szCs w:val="22"/>
        </w:rPr>
      </w:pPr>
      <w:r>
        <w:rPr>
          <w:sz w:val="22"/>
          <w:szCs w:val="22"/>
        </w:rPr>
        <w:t>La sélection des projets s’appuiera sur les critères de sélection suivants :</w:t>
      </w:r>
    </w:p>
    <w:p w:rsidR="00FC7ABD" w:rsidRPr="00FC7ABD" w:rsidRDefault="00FC7ABD" w:rsidP="00FC7ABD">
      <w:pPr>
        <w:pStyle w:val="Default"/>
        <w:numPr>
          <w:ilvl w:val="0"/>
          <w:numId w:val="2"/>
        </w:numPr>
        <w:rPr>
          <w:rFonts w:ascii="Arial" w:hAnsi="Arial" w:cs="Arial"/>
        </w:rPr>
      </w:pPr>
      <w:r>
        <w:rPr>
          <w:sz w:val="22"/>
          <w:szCs w:val="22"/>
        </w:rPr>
        <w:t>Qualité des travaux servant de base à la production des documents (adéquation avec les attentes de l’appel d’offre, validation).</w:t>
      </w:r>
    </w:p>
    <w:p w:rsidR="00FC7ABD" w:rsidRPr="00FC7ABD" w:rsidRDefault="00FC7ABD" w:rsidP="00FC7ABD">
      <w:pPr>
        <w:pStyle w:val="Default"/>
        <w:numPr>
          <w:ilvl w:val="0"/>
          <w:numId w:val="2"/>
        </w:numPr>
        <w:rPr>
          <w:rFonts w:ascii="Arial" w:hAnsi="Arial" w:cs="Arial"/>
        </w:rPr>
      </w:pPr>
      <w:r>
        <w:rPr>
          <w:sz w:val="22"/>
          <w:szCs w:val="22"/>
        </w:rPr>
        <w:t>Qualité de l’équipe proposante : compétence en matière de TVB, aptitude à produire des documents de synthèse pour des gestionnaires</w:t>
      </w:r>
    </w:p>
    <w:p w:rsidR="00FC7ABD" w:rsidRPr="00FC7ABD" w:rsidRDefault="00FC7ABD" w:rsidP="00FC7ABD">
      <w:pPr>
        <w:pStyle w:val="Default"/>
        <w:numPr>
          <w:ilvl w:val="0"/>
          <w:numId w:val="2"/>
        </w:numPr>
        <w:rPr>
          <w:rFonts w:ascii="Arial" w:hAnsi="Arial" w:cs="Arial"/>
        </w:rPr>
      </w:pPr>
      <w:r>
        <w:rPr>
          <w:sz w:val="22"/>
          <w:szCs w:val="22"/>
        </w:rPr>
        <w:t>Organisation et faisabilité du projet</w:t>
      </w:r>
    </w:p>
    <w:p w:rsidR="00FC7ABD" w:rsidRDefault="00FC7ABD" w:rsidP="00FC7ABD">
      <w:pPr>
        <w:pStyle w:val="Default"/>
        <w:rPr>
          <w:sz w:val="22"/>
          <w:szCs w:val="22"/>
        </w:rPr>
      </w:pPr>
    </w:p>
    <w:p w:rsidR="00FC7ABD" w:rsidRPr="00B6230D" w:rsidRDefault="00FC7ABD" w:rsidP="00FC7ABD">
      <w:pPr>
        <w:autoSpaceDE w:val="0"/>
        <w:autoSpaceDN w:val="0"/>
        <w:adjustRightInd w:val="0"/>
        <w:spacing w:after="0" w:line="240" w:lineRule="auto"/>
        <w:rPr>
          <w:rFonts w:ascii="Source Sans Pro" w:hAnsi="Source Sans Pro" w:cs="Source Sans Pro"/>
          <w:color w:val="000000"/>
          <w:sz w:val="23"/>
          <w:szCs w:val="23"/>
          <w:lang w:val="fr-FR"/>
        </w:rPr>
      </w:pPr>
      <w:r w:rsidRPr="00B6230D">
        <w:rPr>
          <w:rFonts w:ascii="Source Sans Pro" w:hAnsi="Source Sans Pro" w:cs="Source Sans Pro"/>
          <w:b/>
          <w:bCs/>
          <w:color w:val="000000"/>
          <w:sz w:val="23"/>
          <w:szCs w:val="23"/>
          <w:lang w:val="fr-FR"/>
        </w:rPr>
        <w:t>I</w:t>
      </w:r>
      <w:r>
        <w:rPr>
          <w:rFonts w:ascii="Source Sans Pro" w:hAnsi="Source Sans Pro" w:cs="Source Sans Pro"/>
          <w:b/>
          <w:bCs/>
          <w:color w:val="000000"/>
          <w:sz w:val="23"/>
          <w:szCs w:val="23"/>
          <w:lang w:val="fr-FR"/>
        </w:rPr>
        <w:t>V</w:t>
      </w:r>
      <w:r w:rsidRPr="00B6230D">
        <w:rPr>
          <w:rFonts w:ascii="Source Sans Pro" w:hAnsi="Source Sans Pro" w:cs="Source Sans Pro"/>
          <w:b/>
          <w:bCs/>
          <w:color w:val="000000"/>
          <w:sz w:val="23"/>
          <w:szCs w:val="23"/>
          <w:lang w:val="fr-FR"/>
        </w:rPr>
        <w:t xml:space="preserve">. </w:t>
      </w:r>
      <w:r>
        <w:rPr>
          <w:rFonts w:ascii="Source Sans Pro" w:hAnsi="Source Sans Pro" w:cs="Source Sans Pro"/>
          <w:b/>
          <w:bCs/>
          <w:color w:val="000000"/>
          <w:sz w:val="23"/>
          <w:szCs w:val="23"/>
          <w:lang w:val="fr-FR"/>
        </w:rPr>
        <w:t>calendrier prévisionnel</w:t>
      </w:r>
      <w:r w:rsidRPr="00B6230D">
        <w:rPr>
          <w:rFonts w:ascii="Source Sans Pro" w:hAnsi="Source Sans Pro" w:cs="Source Sans Pro"/>
          <w:b/>
          <w:bCs/>
          <w:color w:val="000000"/>
          <w:sz w:val="23"/>
          <w:szCs w:val="23"/>
          <w:lang w:val="fr-FR"/>
        </w:rPr>
        <w:t xml:space="preserve"> </w:t>
      </w:r>
    </w:p>
    <w:p w:rsidR="00FC7ABD" w:rsidRDefault="00FC7ABD" w:rsidP="00FC7ABD">
      <w:pPr>
        <w:pStyle w:val="Default"/>
        <w:rPr>
          <w:rFonts w:ascii="Arial" w:hAnsi="Arial" w:cs="Arial"/>
        </w:rPr>
      </w:pPr>
    </w:p>
    <w:p w:rsidR="00FC7ABD" w:rsidRDefault="00FC7ABD" w:rsidP="00FC7ABD">
      <w:pPr>
        <w:pStyle w:val="Default"/>
        <w:rPr>
          <w:rFonts w:ascii="Arial" w:hAnsi="Arial" w:cs="Arial"/>
        </w:rPr>
      </w:pPr>
      <w:r>
        <w:rPr>
          <w:rFonts w:ascii="Arial" w:hAnsi="Arial" w:cs="Arial"/>
        </w:rPr>
        <w:t xml:space="preserve">30 </w:t>
      </w:r>
      <w:r w:rsidR="009E16F8">
        <w:rPr>
          <w:rFonts w:ascii="Arial" w:hAnsi="Arial" w:cs="Arial"/>
        </w:rPr>
        <w:t>octobre</w:t>
      </w:r>
      <w:r>
        <w:rPr>
          <w:rFonts w:ascii="Arial" w:hAnsi="Arial" w:cs="Arial"/>
        </w:rPr>
        <w:t xml:space="preserve"> 2019 : clôture de l’appel</w:t>
      </w:r>
    </w:p>
    <w:p w:rsidR="00FC7ABD" w:rsidRDefault="00FC7ABD" w:rsidP="00FC7ABD">
      <w:pPr>
        <w:pStyle w:val="Default"/>
        <w:rPr>
          <w:rFonts w:ascii="Arial" w:hAnsi="Arial" w:cs="Arial"/>
        </w:rPr>
      </w:pPr>
      <w:r>
        <w:rPr>
          <w:rFonts w:ascii="Arial" w:hAnsi="Arial" w:cs="Arial"/>
        </w:rPr>
        <w:t xml:space="preserve">7 </w:t>
      </w:r>
      <w:r w:rsidR="009E16F8">
        <w:rPr>
          <w:rFonts w:ascii="Arial" w:hAnsi="Arial" w:cs="Arial"/>
        </w:rPr>
        <w:t>novembre</w:t>
      </w:r>
      <w:bookmarkStart w:id="0" w:name="_GoBack"/>
      <w:bookmarkEnd w:id="0"/>
      <w:r>
        <w:rPr>
          <w:rFonts w:ascii="Arial" w:hAnsi="Arial" w:cs="Arial"/>
        </w:rPr>
        <w:t xml:space="preserve"> 2019 : sélection de l’équipe</w:t>
      </w:r>
    </w:p>
    <w:p w:rsidR="00FC7ABD" w:rsidRDefault="00FC7ABD" w:rsidP="00FC7ABD">
      <w:pPr>
        <w:pStyle w:val="Default"/>
        <w:rPr>
          <w:rFonts w:ascii="Arial" w:hAnsi="Arial" w:cs="Arial"/>
        </w:rPr>
      </w:pPr>
      <w:r>
        <w:rPr>
          <w:rFonts w:ascii="Arial" w:hAnsi="Arial" w:cs="Arial"/>
        </w:rPr>
        <w:t>31 décembre 2019 : remise des documents</w:t>
      </w:r>
    </w:p>
    <w:p w:rsidR="00FC7ABD" w:rsidRDefault="00FC7ABD" w:rsidP="00FC7ABD">
      <w:pPr>
        <w:pStyle w:val="Default"/>
        <w:rPr>
          <w:rFonts w:ascii="Arial" w:hAnsi="Arial" w:cs="Arial"/>
        </w:rPr>
      </w:pPr>
    </w:p>
    <w:p w:rsidR="001D1F58" w:rsidRPr="00B6230D" w:rsidRDefault="001D1F58" w:rsidP="001D1F58">
      <w:pPr>
        <w:autoSpaceDE w:val="0"/>
        <w:autoSpaceDN w:val="0"/>
        <w:adjustRightInd w:val="0"/>
        <w:spacing w:after="0" w:line="240" w:lineRule="auto"/>
        <w:rPr>
          <w:rFonts w:ascii="Source Sans Pro" w:hAnsi="Source Sans Pro" w:cs="Source Sans Pro"/>
          <w:color w:val="000000"/>
          <w:sz w:val="23"/>
          <w:szCs w:val="23"/>
          <w:lang w:val="fr-FR"/>
        </w:rPr>
      </w:pPr>
      <w:r>
        <w:rPr>
          <w:rFonts w:ascii="Source Sans Pro" w:hAnsi="Source Sans Pro" w:cs="Source Sans Pro"/>
          <w:b/>
          <w:bCs/>
          <w:color w:val="000000"/>
          <w:sz w:val="23"/>
          <w:szCs w:val="23"/>
          <w:lang w:val="fr-FR"/>
        </w:rPr>
        <w:t>V</w:t>
      </w:r>
      <w:r w:rsidRPr="00B6230D">
        <w:rPr>
          <w:rFonts w:ascii="Source Sans Pro" w:hAnsi="Source Sans Pro" w:cs="Source Sans Pro"/>
          <w:b/>
          <w:bCs/>
          <w:color w:val="000000"/>
          <w:sz w:val="23"/>
          <w:szCs w:val="23"/>
          <w:lang w:val="fr-FR"/>
        </w:rPr>
        <w:t xml:space="preserve">. </w:t>
      </w:r>
      <w:r>
        <w:rPr>
          <w:rFonts w:ascii="Source Sans Pro" w:hAnsi="Source Sans Pro" w:cs="Source Sans Pro"/>
          <w:b/>
          <w:bCs/>
          <w:color w:val="000000"/>
          <w:sz w:val="23"/>
          <w:szCs w:val="23"/>
          <w:lang w:val="fr-FR"/>
        </w:rPr>
        <w:t>contact</w:t>
      </w:r>
      <w:r w:rsidRPr="00B6230D">
        <w:rPr>
          <w:rFonts w:ascii="Source Sans Pro" w:hAnsi="Source Sans Pro" w:cs="Source Sans Pro"/>
          <w:b/>
          <w:bCs/>
          <w:color w:val="000000"/>
          <w:sz w:val="23"/>
          <w:szCs w:val="23"/>
          <w:lang w:val="fr-FR"/>
        </w:rPr>
        <w:t xml:space="preserve"> </w:t>
      </w:r>
      <w:r>
        <w:rPr>
          <w:rFonts w:ascii="Source Sans Pro" w:hAnsi="Source Sans Pro" w:cs="Source Sans Pro"/>
          <w:b/>
          <w:bCs/>
          <w:color w:val="000000"/>
          <w:sz w:val="23"/>
          <w:szCs w:val="23"/>
          <w:lang w:val="fr-FR"/>
        </w:rPr>
        <w:t xml:space="preserve"> </w:t>
      </w:r>
    </w:p>
    <w:p w:rsidR="001D1F58" w:rsidRDefault="00D02CEE" w:rsidP="00FC7ABD">
      <w:pPr>
        <w:pStyle w:val="Default"/>
        <w:rPr>
          <w:rFonts w:ascii="Arial" w:hAnsi="Arial" w:cs="Arial"/>
        </w:rPr>
      </w:pPr>
      <w:r>
        <w:rPr>
          <w:rFonts w:ascii="Arial" w:hAnsi="Arial" w:cs="Arial"/>
        </w:rPr>
        <w:t>J</w:t>
      </w:r>
      <w:r w:rsidR="001D1F58">
        <w:rPr>
          <w:rFonts w:ascii="Arial" w:hAnsi="Arial" w:cs="Arial"/>
        </w:rPr>
        <w:t xml:space="preserve">acques Baudry, directeur de recherche </w:t>
      </w:r>
      <w:r w:rsidR="001D1F58" w:rsidRPr="001D1F58">
        <w:rPr>
          <w:rFonts w:ascii="Arial" w:hAnsi="Arial" w:cs="Arial"/>
        </w:rPr>
        <w:t xml:space="preserve">INRA - </w:t>
      </w:r>
    </w:p>
    <w:p w:rsidR="001D1F58" w:rsidRDefault="001D1F58" w:rsidP="00FC7ABD">
      <w:pPr>
        <w:pStyle w:val="Default"/>
        <w:rPr>
          <w:rFonts w:ascii="Arial" w:hAnsi="Arial" w:cs="Arial"/>
        </w:rPr>
      </w:pPr>
      <w:r>
        <w:rPr>
          <w:rFonts w:ascii="Arial" w:hAnsi="Arial" w:cs="Arial"/>
        </w:rPr>
        <w:t>UMR BAGAP</w:t>
      </w:r>
      <w:r w:rsidR="009C13BA">
        <w:rPr>
          <w:rFonts w:ascii="Arial" w:hAnsi="Arial" w:cs="Arial"/>
        </w:rPr>
        <w:t xml:space="preserve">, 65 rue de Saint-Brieuc, 35042 </w:t>
      </w:r>
      <w:r w:rsidR="009C13BA" w:rsidRPr="001D1F58">
        <w:rPr>
          <w:rFonts w:ascii="Arial" w:hAnsi="Arial" w:cs="Arial"/>
        </w:rPr>
        <w:t>RENNES</w:t>
      </w:r>
      <w:r w:rsidR="009C13BA">
        <w:rPr>
          <w:rFonts w:ascii="Arial" w:hAnsi="Arial" w:cs="Arial"/>
        </w:rPr>
        <w:t xml:space="preserve"> Cedex</w:t>
      </w:r>
    </w:p>
    <w:p w:rsidR="009C13BA" w:rsidRDefault="009C13BA" w:rsidP="00FC7ABD">
      <w:pPr>
        <w:pStyle w:val="Default"/>
        <w:rPr>
          <w:rFonts w:ascii="Arial" w:hAnsi="Arial" w:cs="Arial"/>
        </w:rPr>
      </w:pPr>
      <w:r>
        <w:rPr>
          <w:rFonts w:ascii="Arial" w:hAnsi="Arial" w:cs="Arial"/>
        </w:rPr>
        <w:t>+33 6 42 40 24 40</w:t>
      </w:r>
    </w:p>
    <w:p w:rsidR="009C13BA" w:rsidRPr="003C6BA4" w:rsidRDefault="009C13BA" w:rsidP="00FC7ABD">
      <w:pPr>
        <w:pStyle w:val="Default"/>
        <w:rPr>
          <w:rFonts w:ascii="Arial" w:hAnsi="Arial" w:cs="Arial"/>
        </w:rPr>
      </w:pPr>
      <w:r>
        <w:rPr>
          <w:rFonts w:ascii="Arial" w:hAnsi="Arial" w:cs="Arial"/>
        </w:rPr>
        <w:t>Jacques.baudry@inra.fr</w:t>
      </w:r>
    </w:p>
    <w:sectPr w:rsidR="009C13BA" w:rsidRPr="003C6BA4">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A38" w:rsidRDefault="00F55A38" w:rsidP="00B6230D">
      <w:pPr>
        <w:spacing w:after="0" w:line="240" w:lineRule="auto"/>
      </w:pPr>
      <w:r>
        <w:separator/>
      </w:r>
    </w:p>
  </w:endnote>
  <w:endnote w:type="continuationSeparator" w:id="0">
    <w:p w:rsidR="00F55A38" w:rsidRDefault="00F55A38" w:rsidP="00B62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cked Grit">
    <w:altName w:val="Wicked Gri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ource Sans Pro">
    <w:altName w:val="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30D" w:rsidRDefault="00B6230D">
    <w:pPr>
      <w:pStyle w:val="Pieddepage"/>
    </w:pPr>
    <w:r>
      <w:rPr>
        <w:noProof/>
        <w:lang w:val="fr-FR" w:eastAsia="fr-FR"/>
      </w:rPr>
      <w:drawing>
        <wp:inline distT="0" distB="0" distL="0" distR="0" wp14:anchorId="73368235" wp14:editId="3E840064">
          <wp:extent cx="5760720" cy="510540"/>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510540"/>
                  </a:xfrm>
                  <a:prstGeom prst="rect">
                    <a:avLst/>
                  </a:prstGeom>
                </pic:spPr>
              </pic:pic>
            </a:graphicData>
          </a:graphic>
        </wp:inline>
      </w:drawing>
    </w:r>
  </w:p>
  <w:p w:rsidR="00B6230D" w:rsidRDefault="00B6230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A38" w:rsidRDefault="00F55A38" w:rsidP="00B6230D">
      <w:pPr>
        <w:spacing w:after="0" w:line="240" w:lineRule="auto"/>
      </w:pPr>
      <w:r>
        <w:separator/>
      </w:r>
    </w:p>
  </w:footnote>
  <w:footnote w:type="continuationSeparator" w:id="0">
    <w:p w:rsidR="00F55A38" w:rsidRDefault="00F55A38" w:rsidP="00B623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975A03"/>
    <w:multiLevelType w:val="hybridMultilevel"/>
    <w:tmpl w:val="6E6C908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4CD1E72"/>
    <w:multiLevelType w:val="hybridMultilevel"/>
    <w:tmpl w:val="29225700"/>
    <w:lvl w:ilvl="0" w:tplc="49E440BE">
      <w:start w:val="1"/>
      <w:numFmt w:val="decimal"/>
      <w:lvlText w:val="%1-"/>
      <w:lvlJc w:val="left"/>
      <w:pPr>
        <w:ind w:left="720" w:hanging="360"/>
      </w:pPr>
      <w:rPr>
        <w:rFonts w:ascii="Wicked Grit" w:hAnsi="Wicked Grit" w:cs="Wicked Grit"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BA4"/>
    <w:rsid w:val="000011B2"/>
    <w:rsid w:val="00006E70"/>
    <w:rsid w:val="000A065A"/>
    <w:rsid w:val="001D1F58"/>
    <w:rsid w:val="00221C31"/>
    <w:rsid w:val="003C6BA4"/>
    <w:rsid w:val="00483814"/>
    <w:rsid w:val="006808AB"/>
    <w:rsid w:val="00696BD4"/>
    <w:rsid w:val="00774144"/>
    <w:rsid w:val="0078211C"/>
    <w:rsid w:val="007E030D"/>
    <w:rsid w:val="008476D1"/>
    <w:rsid w:val="008B17FC"/>
    <w:rsid w:val="009512E2"/>
    <w:rsid w:val="009C13BA"/>
    <w:rsid w:val="009E16F8"/>
    <w:rsid w:val="00B32E7C"/>
    <w:rsid w:val="00B6230D"/>
    <w:rsid w:val="00CD4080"/>
    <w:rsid w:val="00D02CEE"/>
    <w:rsid w:val="00DF6A20"/>
    <w:rsid w:val="00E210DA"/>
    <w:rsid w:val="00E92B76"/>
    <w:rsid w:val="00EF4A36"/>
    <w:rsid w:val="00F55A38"/>
    <w:rsid w:val="00FC7ABD"/>
  </w:rsids>
  <m:mathPr>
    <m:mathFont m:val="Cambria Math"/>
    <m:brkBin m:val="before"/>
    <m:brkBinSub m:val="--"/>
    <m:smallFrac m:val="0"/>
    <m:dispDef/>
    <m:lMargin m:val="0"/>
    <m:rMargin m:val="0"/>
    <m:defJc m:val="centerGroup"/>
    <m:wrapIndent m:val="1440"/>
    <m:intLim m:val="subSup"/>
    <m:naryLim m:val="undOvr"/>
  </m:mathPr>
  <w:themeFontLang w:val="fr-FR"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AB9C2"/>
  <w15:docId w15:val="{9EBA8247-38F0-42EC-A81E-9B3C98A79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C6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6BA4"/>
    <w:pPr>
      <w:autoSpaceDE w:val="0"/>
      <w:autoSpaceDN w:val="0"/>
      <w:adjustRightInd w:val="0"/>
      <w:spacing w:after="0" w:line="240" w:lineRule="auto"/>
    </w:pPr>
    <w:rPr>
      <w:rFonts w:ascii="Wicked Grit" w:hAnsi="Wicked Grit" w:cs="Wicked Grit"/>
      <w:color w:val="000000"/>
      <w:sz w:val="24"/>
      <w:szCs w:val="24"/>
    </w:rPr>
  </w:style>
  <w:style w:type="paragraph" w:styleId="En-tte">
    <w:name w:val="header"/>
    <w:basedOn w:val="Normal"/>
    <w:link w:val="En-tteCar"/>
    <w:uiPriority w:val="99"/>
    <w:unhideWhenUsed/>
    <w:rsid w:val="00B6230D"/>
    <w:pPr>
      <w:tabs>
        <w:tab w:val="center" w:pos="4536"/>
        <w:tab w:val="right" w:pos="9072"/>
      </w:tabs>
      <w:spacing w:after="0" w:line="240" w:lineRule="auto"/>
    </w:pPr>
  </w:style>
  <w:style w:type="character" w:customStyle="1" w:styleId="En-tteCar">
    <w:name w:val="En-tête Car"/>
    <w:basedOn w:val="Policepardfaut"/>
    <w:link w:val="En-tte"/>
    <w:uiPriority w:val="99"/>
    <w:rsid w:val="00B6230D"/>
    <w:rPr>
      <w:lang w:val="en-US"/>
    </w:rPr>
  </w:style>
  <w:style w:type="paragraph" w:styleId="Pieddepage">
    <w:name w:val="footer"/>
    <w:basedOn w:val="Normal"/>
    <w:link w:val="PieddepageCar"/>
    <w:uiPriority w:val="99"/>
    <w:unhideWhenUsed/>
    <w:rsid w:val="00B623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230D"/>
    <w:rPr>
      <w:lang w:val="en-US"/>
    </w:rPr>
  </w:style>
  <w:style w:type="paragraph" w:styleId="Textedebulles">
    <w:name w:val="Balloon Text"/>
    <w:basedOn w:val="Normal"/>
    <w:link w:val="TextedebullesCar"/>
    <w:uiPriority w:val="99"/>
    <w:semiHidden/>
    <w:unhideWhenUsed/>
    <w:rsid w:val="007E03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E030D"/>
    <w:rPr>
      <w:rFonts w:ascii="Tahoma" w:hAnsi="Tahoma" w:cs="Tahoma"/>
      <w:sz w:val="16"/>
      <w:szCs w:val="16"/>
      <w:lang w:val="en-US"/>
    </w:rPr>
  </w:style>
  <w:style w:type="character" w:styleId="Marquedecommentaire">
    <w:name w:val="annotation reference"/>
    <w:basedOn w:val="Policepardfaut"/>
    <w:uiPriority w:val="99"/>
    <w:semiHidden/>
    <w:unhideWhenUsed/>
    <w:rsid w:val="00006E70"/>
    <w:rPr>
      <w:sz w:val="16"/>
      <w:szCs w:val="16"/>
    </w:rPr>
  </w:style>
  <w:style w:type="paragraph" w:styleId="Commentaire">
    <w:name w:val="annotation text"/>
    <w:basedOn w:val="Normal"/>
    <w:link w:val="CommentaireCar"/>
    <w:uiPriority w:val="99"/>
    <w:semiHidden/>
    <w:unhideWhenUsed/>
    <w:rsid w:val="00006E70"/>
    <w:pPr>
      <w:spacing w:line="240" w:lineRule="auto"/>
    </w:pPr>
    <w:rPr>
      <w:sz w:val="20"/>
      <w:szCs w:val="20"/>
    </w:rPr>
  </w:style>
  <w:style w:type="character" w:customStyle="1" w:styleId="CommentaireCar">
    <w:name w:val="Commentaire Car"/>
    <w:basedOn w:val="Policepardfaut"/>
    <w:link w:val="Commentaire"/>
    <w:uiPriority w:val="99"/>
    <w:semiHidden/>
    <w:rsid w:val="00006E70"/>
    <w:rPr>
      <w:sz w:val="20"/>
      <w:szCs w:val="20"/>
      <w:lang w:val="en-US"/>
    </w:rPr>
  </w:style>
  <w:style w:type="paragraph" w:styleId="Objetducommentaire">
    <w:name w:val="annotation subject"/>
    <w:basedOn w:val="Commentaire"/>
    <w:next w:val="Commentaire"/>
    <w:link w:val="ObjetducommentaireCar"/>
    <w:uiPriority w:val="99"/>
    <w:semiHidden/>
    <w:unhideWhenUsed/>
    <w:rsid w:val="00006E70"/>
    <w:rPr>
      <w:b/>
      <w:bCs/>
    </w:rPr>
  </w:style>
  <w:style w:type="character" w:customStyle="1" w:styleId="ObjetducommentaireCar">
    <w:name w:val="Objet du commentaire Car"/>
    <w:basedOn w:val="CommentaireCar"/>
    <w:link w:val="Objetducommentaire"/>
    <w:uiPriority w:val="99"/>
    <w:semiHidden/>
    <w:rsid w:val="00006E70"/>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18D03-1D1C-48B3-80D0-273BEE7F2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700</Words>
  <Characters>3850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INRA - RENNES</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 Baudry</dc:creator>
  <cp:lastModifiedBy>Jacques Baudry</cp:lastModifiedBy>
  <cp:revision>7</cp:revision>
  <cp:lastPrinted>2019-09-10T09:25:00Z</cp:lastPrinted>
  <dcterms:created xsi:type="dcterms:W3CDTF">2019-09-02T15:11:00Z</dcterms:created>
  <dcterms:modified xsi:type="dcterms:W3CDTF">2019-10-14T14:03:00Z</dcterms:modified>
</cp:coreProperties>
</file>